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附件1</w:t>
      </w:r>
    </w:p>
    <w:p>
      <w:pPr>
        <w:spacing w:before="240" w:beforeLines="100" w:after="240" w:afterLines="100" w:line="560" w:lineRule="exact"/>
        <w:jc w:val="center"/>
        <w:rPr>
          <w:rFonts w:hint="eastAsia" w:ascii="方正小标宋简体" w:hAnsi="Times New Roman" w:eastAsia="方正小标宋简体"/>
          <w:spacing w:val="-14"/>
          <w:sz w:val="36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hint="eastAsia" w:ascii="方正小标宋简体" w:hAnsi="Times New Roman" w:eastAsia="方正小标宋简体"/>
          <w:spacing w:val="-14"/>
          <w:sz w:val="36"/>
          <w:szCs w:val="32"/>
        </w:rPr>
        <w:t>“看形势，解政策”主题微课大赛选题指南（参考）</w:t>
      </w:r>
    </w:p>
    <w:p>
      <w:pPr>
        <w:spacing w:line="520" w:lineRule="exact"/>
        <w:rPr>
          <w:rFonts w:hint="eastAsia" w:ascii="仿宋_GB2312" w:hAnsi="Times New Roman" w:eastAsia="仿宋_GB2312"/>
          <w:b/>
          <w:spacing w:val="-14"/>
          <w:sz w:val="30"/>
          <w:szCs w:val="30"/>
        </w:rPr>
      </w:pPr>
      <w:r>
        <w:rPr>
          <w:rFonts w:hint="eastAsia" w:ascii="仿宋_GB2312" w:hAnsi="Times New Roman" w:eastAsia="仿宋_GB2312"/>
          <w:b/>
          <w:spacing w:val="-14"/>
          <w:sz w:val="30"/>
          <w:szCs w:val="30"/>
        </w:rPr>
        <w:t>（一）国际方面</w:t>
      </w:r>
    </w:p>
    <w:p>
      <w:pPr>
        <w:spacing w:line="520" w:lineRule="exact"/>
        <w:rPr>
          <w:rFonts w:hint="eastAsia" w:ascii="仿宋_GB2312" w:hAnsi="Times New Roman" w:eastAsia="仿宋_GB2312"/>
          <w:spacing w:val="-14"/>
          <w:sz w:val="30"/>
          <w:szCs w:val="30"/>
        </w:rPr>
      </w:pPr>
      <w:r>
        <w:rPr>
          <w:rFonts w:hint="eastAsia" w:ascii="仿宋_GB2312" w:hAnsi="Times New Roman" w:eastAsia="仿宋_GB2312"/>
          <w:spacing w:val="-14"/>
          <w:sz w:val="30"/>
          <w:szCs w:val="30"/>
        </w:rPr>
        <w:t>1. 美国内外政策调整对我国外部环境产生的影响</w:t>
      </w:r>
    </w:p>
    <w:p>
      <w:pPr>
        <w:spacing w:line="520" w:lineRule="exact"/>
        <w:rPr>
          <w:rFonts w:hint="eastAsia" w:ascii="仿宋_GB2312" w:hAnsi="Times New Roman" w:eastAsia="仿宋_GB2312"/>
          <w:spacing w:val="-14"/>
          <w:sz w:val="30"/>
          <w:szCs w:val="30"/>
        </w:rPr>
      </w:pPr>
      <w:r>
        <w:rPr>
          <w:rFonts w:hint="eastAsia" w:ascii="仿宋_GB2312" w:hAnsi="Times New Roman" w:eastAsia="仿宋_GB2312"/>
          <w:spacing w:val="-14"/>
          <w:sz w:val="30"/>
          <w:szCs w:val="30"/>
        </w:rPr>
        <w:t>2. 中美关系发展的新变化</w:t>
      </w:r>
    </w:p>
    <w:p>
      <w:pPr>
        <w:spacing w:line="520" w:lineRule="exact"/>
        <w:rPr>
          <w:rFonts w:hint="eastAsia" w:ascii="仿宋_GB2312" w:hAnsi="Times New Roman" w:eastAsia="仿宋_GB2312"/>
          <w:spacing w:val="-14"/>
          <w:sz w:val="30"/>
          <w:szCs w:val="30"/>
        </w:rPr>
      </w:pPr>
      <w:r>
        <w:rPr>
          <w:rFonts w:hint="eastAsia" w:ascii="仿宋_GB2312" w:hAnsi="Times New Roman" w:eastAsia="仿宋_GB2312"/>
          <w:spacing w:val="-14"/>
          <w:sz w:val="30"/>
          <w:szCs w:val="30"/>
        </w:rPr>
        <w:t>3. 英国脱欧及其后续影响</w:t>
      </w:r>
    </w:p>
    <w:p>
      <w:pPr>
        <w:spacing w:line="520" w:lineRule="exact"/>
        <w:rPr>
          <w:rFonts w:hint="eastAsia" w:ascii="仿宋_GB2312" w:hAnsi="Times New Roman" w:eastAsia="仿宋_GB2312"/>
          <w:spacing w:val="-14"/>
          <w:sz w:val="30"/>
          <w:szCs w:val="30"/>
        </w:rPr>
      </w:pPr>
      <w:r>
        <w:rPr>
          <w:rFonts w:hint="eastAsia" w:ascii="仿宋_GB2312" w:hAnsi="Times New Roman" w:eastAsia="仿宋_GB2312"/>
          <w:spacing w:val="-14"/>
          <w:sz w:val="30"/>
          <w:szCs w:val="30"/>
        </w:rPr>
        <w:t>4. 我国周边热点问题之朝鲜半岛局势</w:t>
      </w:r>
    </w:p>
    <w:p>
      <w:pPr>
        <w:spacing w:line="520" w:lineRule="exact"/>
        <w:rPr>
          <w:rFonts w:hint="eastAsia" w:ascii="仿宋_GB2312" w:hAnsi="Times New Roman" w:eastAsia="仿宋_GB2312"/>
          <w:spacing w:val="-14"/>
          <w:sz w:val="30"/>
          <w:szCs w:val="30"/>
        </w:rPr>
      </w:pPr>
      <w:r>
        <w:rPr>
          <w:rFonts w:hint="eastAsia" w:ascii="仿宋_GB2312" w:hAnsi="Times New Roman" w:eastAsia="仿宋_GB2312"/>
          <w:spacing w:val="-14"/>
          <w:sz w:val="30"/>
          <w:szCs w:val="30"/>
        </w:rPr>
        <w:t>5. 我国周边热点问题之南海局势</w:t>
      </w:r>
    </w:p>
    <w:p>
      <w:pPr>
        <w:spacing w:line="520" w:lineRule="exact"/>
        <w:rPr>
          <w:rFonts w:hint="eastAsia" w:ascii="仿宋_GB2312" w:hAnsi="Times New Roman" w:eastAsia="仿宋_GB2312"/>
          <w:spacing w:val="-14"/>
          <w:sz w:val="30"/>
          <w:szCs w:val="30"/>
        </w:rPr>
      </w:pPr>
      <w:r>
        <w:rPr>
          <w:rFonts w:hint="eastAsia" w:ascii="仿宋_GB2312" w:hAnsi="Times New Roman" w:eastAsia="仿宋_GB2312"/>
          <w:spacing w:val="-14"/>
          <w:sz w:val="30"/>
          <w:szCs w:val="30"/>
        </w:rPr>
        <w:t>6. 我国周边热点问题之中东局势</w:t>
      </w:r>
    </w:p>
    <w:p>
      <w:pPr>
        <w:spacing w:line="520" w:lineRule="exact"/>
        <w:rPr>
          <w:rFonts w:hint="eastAsia" w:ascii="仿宋_GB2312" w:hAnsi="Times New Roman" w:eastAsia="仿宋_GB2312"/>
          <w:spacing w:val="-14"/>
          <w:sz w:val="30"/>
          <w:szCs w:val="30"/>
        </w:rPr>
      </w:pPr>
      <w:r>
        <w:rPr>
          <w:rFonts w:hint="eastAsia" w:ascii="仿宋_GB2312" w:hAnsi="Times New Roman" w:eastAsia="仿宋_GB2312"/>
          <w:spacing w:val="-14"/>
          <w:sz w:val="30"/>
          <w:szCs w:val="30"/>
        </w:rPr>
        <w:t>7. 全球治理体系相关问题</w:t>
      </w:r>
    </w:p>
    <w:p>
      <w:pPr>
        <w:spacing w:line="520" w:lineRule="exact"/>
        <w:rPr>
          <w:rFonts w:hint="eastAsia" w:ascii="仿宋_GB2312" w:hAnsi="Times New Roman" w:eastAsia="仿宋_GB2312"/>
          <w:spacing w:val="-14"/>
          <w:sz w:val="30"/>
          <w:szCs w:val="30"/>
        </w:rPr>
      </w:pPr>
      <w:r>
        <w:rPr>
          <w:rFonts w:hint="eastAsia" w:ascii="仿宋_GB2312" w:hAnsi="Times New Roman" w:eastAsia="仿宋_GB2312"/>
          <w:spacing w:val="-14"/>
          <w:sz w:val="30"/>
          <w:szCs w:val="30"/>
        </w:rPr>
        <w:t>8. 世界经济形势及其发展前景</w:t>
      </w:r>
    </w:p>
    <w:p>
      <w:pPr>
        <w:spacing w:line="520" w:lineRule="exact"/>
        <w:rPr>
          <w:rFonts w:hint="eastAsia" w:ascii="仿宋_GB2312" w:hAnsi="Times New Roman" w:eastAsia="仿宋_GB2312"/>
          <w:b/>
          <w:spacing w:val="-14"/>
          <w:sz w:val="30"/>
          <w:szCs w:val="30"/>
        </w:rPr>
      </w:pPr>
      <w:r>
        <w:rPr>
          <w:rFonts w:hint="eastAsia" w:ascii="仿宋_GB2312" w:hAnsi="Times New Roman" w:eastAsia="仿宋_GB2312"/>
          <w:b/>
          <w:spacing w:val="-14"/>
          <w:sz w:val="30"/>
          <w:szCs w:val="30"/>
        </w:rPr>
        <w:t>（二）国内方面</w:t>
      </w:r>
    </w:p>
    <w:p>
      <w:pPr>
        <w:spacing w:line="520" w:lineRule="exact"/>
        <w:rPr>
          <w:rFonts w:hint="eastAsia" w:ascii="仿宋_GB2312" w:hAnsi="Times New Roman" w:eastAsia="仿宋_GB2312"/>
          <w:spacing w:val="-14"/>
          <w:sz w:val="30"/>
          <w:szCs w:val="30"/>
        </w:rPr>
      </w:pPr>
      <w:r>
        <w:rPr>
          <w:rFonts w:hint="eastAsia" w:ascii="仿宋_GB2312" w:hAnsi="Times New Roman" w:eastAsia="仿宋_GB2312"/>
          <w:spacing w:val="-14"/>
          <w:sz w:val="30"/>
          <w:szCs w:val="30"/>
        </w:rPr>
        <w:t>1. 习近平治国理政新理念新思想新战略解读</w:t>
      </w:r>
    </w:p>
    <w:p>
      <w:pPr>
        <w:spacing w:line="520" w:lineRule="exact"/>
        <w:rPr>
          <w:rFonts w:hint="eastAsia" w:ascii="仿宋_GB2312" w:hAnsi="Times New Roman" w:eastAsia="仿宋_GB2312"/>
          <w:spacing w:val="-14"/>
          <w:sz w:val="30"/>
          <w:szCs w:val="30"/>
        </w:rPr>
      </w:pPr>
      <w:r>
        <w:rPr>
          <w:rFonts w:hint="eastAsia" w:ascii="仿宋_GB2312" w:hAnsi="Times New Roman" w:eastAsia="仿宋_GB2312"/>
          <w:spacing w:val="-14"/>
          <w:sz w:val="30"/>
          <w:szCs w:val="30"/>
        </w:rPr>
        <w:t>2. 十八大以来全面从严治党的新举措、新成就和新特点</w:t>
      </w:r>
    </w:p>
    <w:p>
      <w:pPr>
        <w:spacing w:line="520" w:lineRule="exact"/>
        <w:rPr>
          <w:rFonts w:hint="eastAsia" w:ascii="仿宋_GB2312" w:hAnsi="Times New Roman" w:eastAsia="仿宋_GB2312"/>
          <w:spacing w:val="-14"/>
          <w:sz w:val="30"/>
          <w:szCs w:val="30"/>
        </w:rPr>
      </w:pPr>
      <w:r>
        <w:rPr>
          <w:rFonts w:hint="eastAsia" w:ascii="仿宋_GB2312" w:hAnsi="Times New Roman" w:eastAsia="仿宋_GB2312"/>
          <w:spacing w:val="-14"/>
          <w:sz w:val="30"/>
          <w:szCs w:val="30"/>
        </w:rPr>
        <w:t>3. 当前中国经济形势及其发展前景</w:t>
      </w:r>
    </w:p>
    <w:p>
      <w:pPr>
        <w:spacing w:line="520" w:lineRule="exact"/>
        <w:rPr>
          <w:rFonts w:hint="eastAsia" w:ascii="仿宋_GB2312" w:hAnsi="Times New Roman" w:eastAsia="仿宋_GB2312"/>
          <w:spacing w:val="-14"/>
          <w:sz w:val="30"/>
          <w:szCs w:val="30"/>
        </w:rPr>
      </w:pPr>
      <w:r>
        <w:rPr>
          <w:rFonts w:hint="eastAsia" w:ascii="仿宋_GB2312" w:hAnsi="Times New Roman" w:eastAsia="仿宋_GB2312"/>
          <w:spacing w:val="-14"/>
          <w:sz w:val="30"/>
          <w:szCs w:val="30"/>
        </w:rPr>
        <w:t>4. 坚定“中国特色”文化自信相关问题</w:t>
      </w:r>
    </w:p>
    <w:p>
      <w:pPr>
        <w:spacing w:line="520" w:lineRule="exact"/>
        <w:rPr>
          <w:rFonts w:hint="eastAsia" w:ascii="仿宋_GB2312" w:hAnsi="Times New Roman" w:eastAsia="仿宋_GB2312"/>
          <w:spacing w:val="-14"/>
          <w:sz w:val="30"/>
          <w:szCs w:val="30"/>
        </w:rPr>
      </w:pPr>
      <w:r>
        <w:rPr>
          <w:rFonts w:hint="eastAsia" w:ascii="仿宋_GB2312" w:hAnsi="Times New Roman" w:eastAsia="仿宋_GB2312"/>
          <w:spacing w:val="-14"/>
          <w:sz w:val="30"/>
          <w:szCs w:val="30"/>
        </w:rPr>
        <w:t>5. 对我国“一带一路”发展战略的认识与理解</w:t>
      </w:r>
    </w:p>
    <w:p>
      <w:pPr>
        <w:spacing w:line="520" w:lineRule="exact"/>
        <w:rPr>
          <w:rFonts w:hint="eastAsia" w:ascii="仿宋_GB2312" w:hAnsi="Times New Roman" w:eastAsia="仿宋_GB2312"/>
          <w:spacing w:val="-14"/>
          <w:sz w:val="30"/>
          <w:szCs w:val="30"/>
        </w:rPr>
      </w:pPr>
      <w:r>
        <w:rPr>
          <w:rFonts w:hint="eastAsia" w:ascii="仿宋_GB2312" w:hAnsi="Times New Roman" w:eastAsia="仿宋_GB2312"/>
          <w:spacing w:val="-14"/>
          <w:sz w:val="30"/>
          <w:szCs w:val="30"/>
        </w:rPr>
        <w:t>6. 两岸关系发展面临的新形势和新挑战</w:t>
      </w:r>
    </w:p>
    <w:p>
      <w:pPr>
        <w:spacing w:line="520" w:lineRule="exact"/>
        <w:rPr>
          <w:rFonts w:hint="eastAsia" w:ascii="仿宋_GB2312" w:hAnsi="Times New Roman" w:eastAsia="仿宋_GB2312"/>
          <w:spacing w:val="-14"/>
          <w:sz w:val="30"/>
          <w:szCs w:val="30"/>
        </w:rPr>
      </w:pPr>
      <w:r>
        <w:rPr>
          <w:rFonts w:hint="eastAsia" w:ascii="仿宋_GB2312" w:hAnsi="Times New Roman" w:eastAsia="仿宋_GB2312"/>
          <w:spacing w:val="-14"/>
          <w:sz w:val="30"/>
          <w:szCs w:val="30"/>
        </w:rPr>
        <w:t>7. 建设“健康中国”热点问题</w:t>
      </w:r>
    </w:p>
    <w:p>
      <w:pPr>
        <w:spacing w:line="520" w:lineRule="exact"/>
        <w:rPr>
          <w:rFonts w:hint="eastAsia" w:ascii="仿宋_GB2312" w:hAnsi="Times New Roman" w:eastAsia="仿宋_GB2312"/>
          <w:spacing w:val="-14"/>
          <w:sz w:val="30"/>
          <w:szCs w:val="30"/>
        </w:rPr>
      </w:pPr>
      <w:r>
        <w:rPr>
          <w:rFonts w:hint="eastAsia" w:ascii="仿宋_GB2312" w:hAnsi="Times New Roman" w:eastAsia="仿宋_GB2312"/>
          <w:spacing w:val="-14"/>
          <w:sz w:val="30"/>
          <w:szCs w:val="30"/>
        </w:rPr>
        <w:t>8. 中央对港治理二十年与续写“一国两制”新篇章</w:t>
      </w:r>
    </w:p>
    <w:p>
      <w:pPr>
        <w:spacing w:line="520" w:lineRule="exact"/>
        <w:rPr>
          <w:rFonts w:hint="eastAsia" w:ascii="仿宋_GB2312" w:hAnsi="Times New Roman" w:eastAsia="仿宋_GB2312"/>
          <w:spacing w:val="-14"/>
          <w:sz w:val="30"/>
          <w:szCs w:val="30"/>
        </w:rPr>
      </w:pPr>
    </w:p>
    <w:p>
      <w:pPr>
        <w:spacing w:line="520" w:lineRule="exact"/>
        <w:ind w:firstLine="544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pacing w:val="-14"/>
          <w:sz w:val="30"/>
          <w:szCs w:val="30"/>
        </w:rPr>
        <w:t>注：此指南只规定选题范围和方向，参赛者可在如下范围和方向内自主拟定具体作品题目。作品名称的表述应科学、严谨、规范、简明，一般不加副标题。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41C0E"/>
    <w:rsid w:val="091207F6"/>
    <w:rsid w:val="24D21572"/>
    <w:rsid w:val="42E41C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asciiTheme="minorAscii" w:hAnsiTheme="minorAscii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2017-05-18T01:44:00Z</dcterms:created>
  <dc:creator>xd</dc:creator>
  <cp:lastModifiedBy>xd</cp:lastModifiedBy>
  <dcterms:modified xsi:type="dcterms:W3CDTF">2017-05-18T01:44:51Z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